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000000"/>
          <w:sz w:val="56"/>
          <w:szCs w:val="56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56"/>
          <w:szCs w:val="56"/>
          <w:vertAlign w:val="baseline"/>
          <w:rtl w:val="0"/>
        </w:rPr>
        <w:t xml:space="preserve">CONCURSO DE ARPA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PARA CUBRIR UN CARGO CAT.2 DEL ESCALAFÓN ARTÍSTICO CULTURAL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CON FUNCIONES DE ARPA SOLISTA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Características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 y 30 de junio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Horario: 9.30hs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Presentación de participantes (sorteo orden de inscripción): 09:00hs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Condiciones de la prueba: ver Anexo I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Inscripción: desde el 29/05 hasta el 17/06 (hora de cierre 13.00hs)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presentando de manera digital los antecedentes requeridos por correo electrónico: orquesta@uncu.edu.ar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Sueldo mensual: consultar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Inscripción e informes: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correo electrónico: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orquesta@uncu.edu.ar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internet: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www.orquesta.uncu.edu.ar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CONDICIONES DE LA PRUEBA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43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ANTECEDENTES: presentación de carpeta de antecedentes con la información detallada en Anexo I.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60" w:lineRule="auto"/>
        <w:ind w:left="435" w:hanging="36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INTERPRETACIÓN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 del repertorio consignado en Anexo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Anexo I – Condiciones de la prueba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a) CARPETA DE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1. Apellido y nombre del aspirante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2. Lugar y fecha de nacimiento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3. Estado civil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4. Número de Documento de Identidad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5. Domicilio, número de teléfono, fax o correo electrónico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6. Mención pormenorizada de los elementos que contribuyan a valorar la capacidad del aspirante para el cargo, acompañada de los comprobantes correspondientes, los que serán retenidos hasta la finalización del concurso.</w:t>
      </w:r>
    </w:p>
    <w:p w:rsidR="00000000" w:rsidDel="00000000" w:rsidP="00000000" w:rsidRDefault="00000000" w:rsidRPr="00000000" w14:paraId="00000029">
      <w:pPr>
        <w:ind w:left="1276" w:hanging="709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6.1.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Títulos Universitarios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con indicación de la facultad y universidad que los otorgó. </w:t>
      </w:r>
    </w:p>
    <w:p w:rsidR="00000000" w:rsidDel="00000000" w:rsidP="00000000" w:rsidRDefault="00000000" w:rsidRPr="00000000" w14:paraId="0000002A">
      <w:pPr>
        <w:ind w:left="1276" w:hanging="709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6.2.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Antecedentes artísticos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 índole de las tareas desarrolladas, indicando la institución, período de ejercicio y la naturaleza de la designación, acompañados de las probanzas correspondientes.</w:t>
      </w:r>
    </w:p>
    <w:p w:rsidR="00000000" w:rsidDel="00000000" w:rsidP="00000000" w:rsidRDefault="00000000" w:rsidRPr="00000000" w14:paraId="0000002B">
      <w:pPr>
        <w:ind w:left="1276" w:hanging="709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6.3.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Experiencia orquestal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indicando organismo, funciones desempeñadas y períodos.</w:t>
      </w:r>
    </w:p>
    <w:p w:rsidR="00000000" w:rsidDel="00000000" w:rsidP="00000000" w:rsidRDefault="00000000" w:rsidRPr="00000000" w14:paraId="0000002C">
      <w:pPr>
        <w:ind w:left="1276" w:hanging="709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6.4.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Participación en cursos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o seminarios de perfeccionamiento en el ejercicio de la especialidad respectiva, con la debida certificación.</w:t>
      </w:r>
    </w:p>
    <w:p w:rsidR="00000000" w:rsidDel="00000000" w:rsidP="00000000" w:rsidRDefault="00000000" w:rsidRPr="00000000" w14:paraId="0000002D">
      <w:pPr>
        <w:ind w:left="1276" w:hanging="709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6.5.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Becas, premios y distinciones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honoríficas otorgadas por instituciones académicas y científicas del país y el extranjero, acompañadas de las probanzas respectivas.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7. En ningún caso se recibirán antecedentes después del cierre de inscripción.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2"/>
          <w:tab w:val="left" w:leader="none" w:pos="1440"/>
          <w:tab w:val="left" w:leader="none" w:pos="2880"/>
          <w:tab w:val="left" w:leader="none" w:pos="4320"/>
          <w:tab w:val="left" w:leader="none" w:pos="5760"/>
        </w:tabs>
        <w:spacing w:after="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2"/>
          <w:tab w:val="left" w:leader="none" w:pos="1440"/>
          <w:tab w:val="left" w:leader="none" w:pos="2880"/>
          <w:tab w:val="left" w:leader="none" w:pos="4320"/>
          <w:tab w:val="left" w:leader="none" w:pos="5760"/>
        </w:tabs>
        <w:spacing w:after="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2"/>
          <w:tab w:val="left" w:leader="none" w:pos="1440"/>
          <w:tab w:val="left" w:leader="none" w:pos="2880"/>
          <w:tab w:val="left" w:leader="none" w:pos="4320"/>
          <w:tab w:val="left" w:leader="none" w:pos="576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PRUEBA 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OPOSICIÓN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PRIMERA ETAPA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2"/>
        </w:tabs>
        <w:spacing w:after="0" w:before="0" w:line="240" w:lineRule="auto"/>
        <w:ind w:left="70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Obra con acompañamiento de piano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elección entre las siguientes: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2"/>
        </w:tabs>
        <w:spacing w:after="0" w:before="0" w:line="240" w:lineRule="auto"/>
        <w:ind w:left="107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Danzas sagrada y profana de Debussy 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2"/>
        </w:tabs>
        <w:spacing w:after="0" w:before="0" w:line="240" w:lineRule="auto"/>
        <w:ind w:left="10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2"/>
        </w:tabs>
        <w:spacing w:after="0" w:before="0" w:line="240" w:lineRule="auto"/>
        <w:ind w:left="709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Una obra sin acompañamiento de piano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elección entre las siguientes: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2"/>
        </w:tabs>
        <w:spacing w:after="0" w:before="0" w:line="240" w:lineRule="auto"/>
        <w:ind w:left="113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Fauré: Impromptu op 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2"/>
        </w:tabs>
        <w:spacing w:after="0" w:before="0" w:line="240" w:lineRule="auto"/>
        <w:ind w:left="113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Nino Rota: Sarabanda y Tocata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2"/>
        </w:tabs>
        <w:spacing w:after="0" w:before="0" w:line="240" w:lineRule="auto"/>
        <w:ind w:left="113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Saint Saens: Fantasía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2"/>
        </w:tabs>
        <w:spacing w:after="0" w:before="0" w:line="240" w:lineRule="auto"/>
        <w:ind w:left="113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Spohr: Fantasía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2"/>
        </w:tabs>
        <w:spacing w:after="0" w:before="0" w:line="240" w:lineRule="auto"/>
        <w:ind w:left="1134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Haendel: Concierto (versión Grandjany)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2"/>
        </w:tabs>
        <w:spacing w:after="0" w:before="0" w:line="240" w:lineRule="auto"/>
        <w:ind w:left="34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284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B2. CADENCIAS 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ind w:left="1068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Tchaikovksy: Vals de las flores (Cascanueces)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1068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Rimsky Korsakov: Capricho español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1068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Ravel: Tzigane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ind w:left="1068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Ravel: Concierto en Sol para piano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1068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Britte: Guía orquestal (variación I y fuga)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284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B3.  FRAGMENTOS DE TUTTI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1068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Bartok: Concierto para orquesta (I mov. Introduzione, IV mov. Inermezzo interroto y V mov.)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1068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Ravel: Alborada del gracioso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1068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De Falla: Sombrero de Tres picos (Danza de los vecinos)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1068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Mahler: 5ta Sinfonía (IV mov Adagietto)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1068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Moncayo: Huapango (n. 7 al 10 y n. 41 al fin)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1068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Gianneo: El tarco en flor (desde n. 2 hasta n. 8 y del n 14 al 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1068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De Rogatis: Danza de la ópera  Huemac (desde n 1 al 2, y desde  4 al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1068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Bizet: Entreacto de la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Ópera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 Carmen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1068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Franck: Sinfonía en Re menor (II mov)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1068" w:hanging="36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Strauss: Muerte y transfiguración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B2.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SEGUNDA ETAPA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(final): Ensayo con orquesta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Solo accederán a esta instancia los participantes seleccionados en la Primera Etapa, interpretando junto a la OSUNCuyo fragmentos orquestales seleccionados de la etapa B3. 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2"/>
          <w:tab w:val="left" w:leader="none" w:pos="1440"/>
          <w:tab w:val="left" w:leader="none" w:pos="2880"/>
          <w:tab w:val="left" w:leader="none" w:pos="4320"/>
          <w:tab w:val="left" w:leader="none" w:pos="57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7" w:orient="portrait"/>
      <w:pgMar w:bottom="709" w:top="40" w:left="1418" w:right="992" w:header="153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276"/>
        <w:tab w:val="left" w:leader="none" w:pos="567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276"/>
        <w:tab w:val="left" w:leader="none" w:pos="5670"/>
      </w:tabs>
      <w:spacing w:after="0" w:before="4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Orquesta Sinfónica Universidad Nacional de Cuyo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276"/>
        <w:tab w:val="left" w:leader="none" w:pos="5670"/>
      </w:tabs>
      <w:spacing w:after="0" w:before="4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www.orquesta.uncu.edu.ar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276"/>
        <w:tab w:val="left" w:leader="none" w:pos="5670"/>
      </w:tabs>
      <w:spacing w:after="0" w:before="0" w:line="240" w:lineRule="auto"/>
      <w:ind w:left="0" w:right="0" w:firstLine="708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537335" cy="94869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7335" cy="9486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7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9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1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3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5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7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9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1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3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709" w:hanging="359.99999999999994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435" w:hanging="360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0"/>
      <w:numFmt w:val="bullet"/>
      <w:lvlText w:val="-"/>
      <w:lvlJc w:val="left"/>
      <w:pPr>
        <w:ind w:left="525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noProof w:val="0"/>
      <w:snapToGrid w:val="0"/>
      <w:w w:val="100"/>
      <w:position w:val="-1"/>
      <w:sz w:val="28"/>
      <w:effect w:val="none"/>
      <w:vertAlign w:val="baseline"/>
      <w:cs w:val="0"/>
      <w:em w:val="none"/>
      <w:lang w:bidi="ar-SA" w:eastAsia="es-ES" w:val="es-A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240" w:lineRule="atLeast"/>
      <w:ind w:leftChars="-1" w:rightChars="0" w:firstLineChars="-1"/>
      <w:textDirection w:val="btLr"/>
      <w:textAlignment w:val="top"/>
      <w:outlineLvl w:val="1"/>
    </w:pPr>
    <w:rPr>
      <w:b w:val="1"/>
      <w:i w:val="1"/>
      <w:color w:val="0000ff"/>
      <w:w w:val="100"/>
      <w:position w:val="-1"/>
      <w:sz w:val="3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283" w:lineRule="atLeast"/>
      <w:ind w:leftChars="-1" w:rightChars="0" w:firstLineChars="-1"/>
      <w:textDirection w:val="btLr"/>
      <w:textAlignment w:val="top"/>
      <w:outlineLvl w:val="0"/>
    </w:pPr>
    <w:rPr>
      <w:rFonts w:ascii="Bookman Old Style" w:hAnsi="Bookman Old Style"/>
      <w:noProof w:val="0"/>
      <w:snapToGrid w:val="0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line="278" w:lineRule="atLeast"/>
      <w:ind w:left="1440" w:leftChars="-1" w:rightChars="0" w:firstLineChars="-1"/>
      <w:textDirection w:val="btLr"/>
      <w:textAlignment w:val="top"/>
      <w:outlineLvl w:val="0"/>
    </w:pPr>
    <w:rPr>
      <w:rFonts w:ascii="Bookman Old Style" w:hAnsi="Bookman Old Style"/>
      <w:noProof w:val="0"/>
      <w:snapToGrid w:val="0"/>
      <w:w w:val="100"/>
      <w:position w:val="-1"/>
      <w:sz w:val="28"/>
      <w:effect w:val="none"/>
      <w:vertAlign w:val="baseline"/>
      <w:cs w:val="0"/>
      <w:em w:val="none"/>
      <w:lang w:bidi="ar-SA" w:eastAsia="es-ES" w:val="es-ES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suppressAutoHyphens w:val="1"/>
      <w:spacing w:line="268" w:lineRule="atLeast"/>
      <w:ind w:left="720" w:leftChars="-1" w:rightChars="0" w:firstLineChars="-1"/>
      <w:textDirection w:val="btLr"/>
      <w:textAlignment w:val="top"/>
      <w:outlineLvl w:val="0"/>
    </w:pPr>
    <w:rPr>
      <w:rFonts w:ascii="Arial" w:hAnsi="Arial"/>
      <w:noProof w:val="0"/>
      <w:snapToGrid w:val="0"/>
      <w:w w:val="100"/>
      <w:position w:val="-1"/>
      <w:sz w:val="28"/>
      <w:effect w:val="none"/>
      <w:vertAlign w:val="baseline"/>
      <w:cs w:val="0"/>
      <w:em w:val="none"/>
      <w:lang w:bidi="ar-SA" w:eastAsia="es-ES" w:val="es-ES"/>
    </w:rPr>
  </w:style>
  <w:style w:type="paragraph" w:styleId="Textodebloque">
    <w:name w:val="Texto de bloque"/>
    <w:basedOn w:val="Normal"/>
    <w:next w:val="Textodebloque"/>
    <w:autoRedefine w:val="0"/>
    <w:hidden w:val="0"/>
    <w:qFormat w:val="0"/>
    <w:pPr>
      <w:suppressAutoHyphens w:val="1"/>
      <w:spacing w:line="273" w:lineRule="atLeast"/>
      <w:ind w:left="1440" w:right="421" w:leftChars="-1" w:rightChars="0" w:firstLineChars="-1"/>
      <w:textDirection w:val="btLr"/>
      <w:textAlignment w:val="top"/>
      <w:outlineLvl w:val="0"/>
    </w:pPr>
    <w:rPr>
      <w:rFonts w:ascii="Arial" w:hAnsi="Arial"/>
      <w:noProof w:val="0"/>
      <w:snapToGrid w:val="0"/>
      <w:w w:val="100"/>
      <w:position w:val="-1"/>
      <w:sz w:val="28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b w:val="1"/>
      <w:noProof w:val="0"/>
      <w:snapToGrid w:val="0"/>
      <w:w w:val="100"/>
      <w:position w:val="-1"/>
      <w:sz w:val="40"/>
      <w:effect w:val="none"/>
      <w:vertAlign w:val="baseline"/>
      <w:cs w:val="0"/>
      <w:em w:val="none"/>
      <w:lang w:bidi="ar-SA" w:eastAsia="es-ES" w:val="es-AR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TMLconformatoprevio">
    <w:name w:val="HTML con formato previo"/>
    <w:basedOn w:val="Normal"/>
    <w:next w:val="HTMLconformatoprevio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sello">
    <w:name w:val="sello"/>
    <w:basedOn w:val="Normal"/>
    <w:next w:val="sel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sz w:val="16"/>
      <w:effect w:val="none"/>
      <w:vertAlign w:val="baseline"/>
      <w:cs w:val="0"/>
      <w:em w:val="none"/>
      <w:lang w:bidi="ar-SA" w:eastAsia="es-ES" w:val="en-US"/>
    </w:rPr>
  </w:style>
  <w:style w:type="paragraph" w:styleId="titulo">
    <w:name w:val="titulo"/>
    <w:basedOn w:val="Normal"/>
    <w:next w:val="titu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witzerland" w:hAnsi="Switzerland"/>
      <w:b w:val="1"/>
      <w:i w:val="1"/>
      <w:w w:val="100"/>
      <w:position w:val="-1"/>
      <w:effect w:val="none"/>
      <w:vertAlign w:val="baseline"/>
      <w:cs w:val="0"/>
      <w:em w:val="none"/>
      <w:lang w:bidi="ar-SA" w:eastAsia="es-ES" w:val="en-US"/>
    </w:rPr>
  </w:style>
  <w:style w:type="paragraph" w:styleId="Estándar">
    <w:name w:val="Estándar"/>
    <w:basedOn w:val="Normal"/>
    <w:next w:val="Estándar"/>
    <w:autoRedefine w:val="0"/>
    <w:hidden w:val="0"/>
    <w:qFormat w:val="0"/>
    <w:pPr>
      <w:suppressAutoHyphens w:val="1"/>
      <w:spacing w:after="113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SwitzerlandLight" w:hAnsi="SwitzerlandLight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exto">
    <w:name w:val="texto"/>
    <w:basedOn w:val="Normal"/>
    <w:next w:val="texto"/>
    <w:autoRedefine w:val="0"/>
    <w:hidden w:val="0"/>
    <w:qFormat w:val="0"/>
    <w:pPr>
      <w:suppressAutoHyphens w:val="1"/>
      <w:spacing w:after="113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SwitzerlandLight" w:hAnsi="SwitzerlandLight"/>
      <w:w w:val="100"/>
      <w:position w:val="-1"/>
      <w:sz w:val="22"/>
      <w:effect w:val="none"/>
      <w:vertAlign w:val="baseline"/>
      <w:cs w:val="0"/>
      <w:em w:val="none"/>
      <w:lang w:bidi="ar-SA" w:eastAsia="es-ES" w:val="en-US"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TMLconformatoprevioCar">
    <w:name w:val="HTML con formato previo Car"/>
    <w:next w:val="HTMLconformatoprevioCar"/>
    <w:autoRedefine w:val="0"/>
    <w:hidden w:val="0"/>
    <w:qFormat w:val="0"/>
    <w:rPr>
      <w:rFonts w:ascii="Courier New" w:cs="Courier New" w:hAnsi="Courier New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es-ES" w:val="es-ES"/>
    </w:rPr>
  </w:style>
  <w:style w:type="character" w:styleId="EstándarCar">
    <w:name w:val="Estándar Car"/>
    <w:next w:val="EstándarCar"/>
    <w:autoRedefine w:val="0"/>
    <w:hidden w:val="0"/>
    <w:qFormat w:val="0"/>
    <w:rPr>
      <w:rFonts w:ascii="SwitzerlandLight" w:hAnsi="SwitzerlandLight"/>
      <w:w w:val="100"/>
      <w:position w:val="-1"/>
      <w:sz w:val="22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rquesta@uncu.edu.ar" TargetMode="External"/><Relationship Id="rId8" Type="http://schemas.openxmlformats.org/officeDocument/2006/relationships/hyperlink" Target="http://www.orquesta.uncu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orquesta.uncu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a2JEI4rghCRKHtvbSCkI5Bd+Lg==">AMUW2mVnIPoUN8yWrU6y7R5/4yIFYQngTDAGH431Rp9R4GicfTRMyeFdw40N/PhmPJCZC92gZEBIZgWGOLEV1f+NSMStvOS8MM1Mug6PD8od07ooXJB9pb9sfnNICjPFRzJXFsiATMc6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2023-03-15T16:11:00Z</dcterms:created>
  <dc:creator>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